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1" w:rsidRDefault="001F54E1" w:rsidP="001F54E1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9C20966" wp14:editId="3B76D846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4E1" w:rsidRDefault="001F54E1" w:rsidP="001F54E1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1F54E1" w:rsidRDefault="001F54E1" w:rsidP="001F54E1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1F54E1" w:rsidRDefault="001F54E1" w:rsidP="001F54E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1F54E1" w:rsidRDefault="001F54E1" w:rsidP="001F54E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1F54E1" w:rsidRDefault="001F54E1" w:rsidP="001F54E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27B0" w:rsidRDefault="001427B0" w:rsidP="001F54E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F54E1" w:rsidRDefault="001F54E1" w:rsidP="001F54E1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F54E1" w:rsidRDefault="001F54E1" w:rsidP="001F54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1F54E1" w:rsidTr="001F54E1">
        <w:trPr>
          <w:jc w:val="center"/>
        </w:trPr>
        <w:tc>
          <w:tcPr>
            <w:tcW w:w="4782" w:type="dxa"/>
            <w:hideMark/>
          </w:tcPr>
          <w:p w:rsidR="001F54E1" w:rsidRDefault="00631646" w:rsidP="006316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3307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  <w:r w:rsidR="001F54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4115" w:type="dxa"/>
            <w:hideMark/>
          </w:tcPr>
          <w:p w:rsidR="001F54E1" w:rsidRDefault="001F54E1" w:rsidP="00631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316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121</w:t>
            </w:r>
            <w:bookmarkStart w:id="0" w:name="_GoBack"/>
            <w:bookmarkEnd w:id="0"/>
          </w:p>
        </w:tc>
      </w:tr>
    </w:tbl>
    <w:p w:rsidR="001F54E1" w:rsidRDefault="001F54E1" w:rsidP="001F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B0" w:rsidRDefault="001427B0" w:rsidP="001F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4E1" w:rsidRPr="00B81F32" w:rsidRDefault="001F54E1" w:rsidP="003307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330796"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30796"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утверждении перечня лиц (организаций),</w:t>
      </w:r>
    </w:p>
    <w:p w:rsidR="00330796" w:rsidRPr="00B81F32" w:rsidRDefault="00330796" w:rsidP="00330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>наделяемых</w:t>
      </w:r>
      <w:proofErr w:type="gramEnd"/>
      <w:r w:rsidRPr="00B81F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полномочиями по </w:t>
      </w:r>
      <w:r w:rsidRPr="00B81F32">
        <w:rPr>
          <w:rFonts w:ascii="Times New Roman" w:hAnsi="Times New Roman"/>
          <w:b/>
          <w:sz w:val="24"/>
          <w:szCs w:val="24"/>
        </w:rPr>
        <w:t>согласованию</w:t>
      </w:r>
    </w:p>
    <w:p w:rsidR="00B81F32" w:rsidRDefault="00330796" w:rsidP="00330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F32">
        <w:rPr>
          <w:rFonts w:ascii="Times New Roman" w:hAnsi="Times New Roman"/>
          <w:b/>
          <w:sz w:val="24"/>
          <w:szCs w:val="24"/>
        </w:rPr>
        <w:t>проект</w:t>
      </w:r>
      <w:r w:rsidR="00B81F32">
        <w:rPr>
          <w:rFonts w:ascii="Times New Roman" w:hAnsi="Times New Roman"/>
          <w:b/>
          <w:sz w:val="24"/>
          <w:szCs w:val="24"/>
        </w:rPr>
        <w:t>ов</w:t>
      </w:r>
      <w:r w:rsidRPr="00B81F32">
        <w:rPr>
          <w:rFonts w:ascii="Times New Roman" w:hAnsi="Times New Roman"/>
          <w:b/>
          <w:sz w:val="24"/>
          <w:szCs w:val="24"/>
        </w:rPr>
        <w:t xml:space="preserve"> </w:t>
      </w:r>
      <w:r w:rsidR="00B81F32">
        <w:rPr>
          <w:rFonts w:ascii="Times New Roman" w:hAnsi="Times New Roman"/>
          <w:b/>
          <w:sz w:val="24"/>
          <w:szCs w:val="24"/>
        </w:rPr>
        <w:t>организации дорожного движения,</w:t>
      </w:r>
    </w:p>
    <w:p w:rsidR="00B81F32" w:rsidRDefault="00330796" w:rsidP="00330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81F32">
        <w:rPr>
          <w:rFonts w:ascii="Times New Roman" w:hAnsi="Times New Roman"/>
          <w:b/>
          <w:sz w:val="24"/>
          <w:szCs w:val="24"/>
        </w:rPr>
        <w:t>разрабатываемы</w:t>
      </w:r>
      <w:r w:rsidR="00B81F32">
        <w:rPr>
          <w:rFonts w:ascii="Times New Roman" w:hAnsi="Times New Roman"/>
          <w:b/>
          <w:sz w:val="24"/>
          <w:szCs w:val="24"/>
        </w:rPr>
        <w:t>х</w:t>
      </w:r>
      <w:r w:rsidRPr="00B81F32">
        <w:rPr>
          <w:rFonts w:ascii="Times New Roman" w:hAnsi="Times New Roman"/>
          <w:b/>
          <w:sz w:val="24"/>
          <w:szCs w:val="24"/>
        </w:rPr>
        <w:t xml:space="preserve"> для автомобильных дорог</w:t>
      </w:r>
      <w:proofErr w:type="gramEnd"/>
    </w:p>
    <w:p w:rsidR="00B81F32" w:rsidRDefault="00330796" w:rsidP="00330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F32">
        <w:rPr>
          <w:rFonts w:ascii="Times New Roman" w:hAnsi="Times New Roman"/>
          <w:b/>
          <w:sz w:val="24"/>
          <w:szCs w:val="24"/>
        </w:rPr>
        <w:t>либо их участков</w:t>
      </w:r>
      <w:r w:rsidR="00B81F32">
        <w:rPr>
          <w:rFonts w:ascii="Times New Roman" w:hAnsi="Times New Roman"/>
          <w:b/>
          <w:sz w:val="24"/>
          <w:szCs w:val="24"/>
        </w:rPr>
        <w:t xml:space="preserve"> Ивняковского </w:t>
      </w:r>
      <w:proofErr w:type="gramStart"/>
      <w:r w:rsidR="00B81F32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B81F32" w:rsidRDefault="00B81F32" w:rsidP="001F54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1F54E1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</w:t>
      </w:r>
    </w:p>
    <w:p w:rsidR="001F54E1" w:rsidRDefault="001F54E1" w:rsidP="001F54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Ярославской области</w:t>
      </w:r>
      <w:r w:rsidR="00B81F32">
        <w:rPr>
          <w:rFonts w:ascii="Times New Roman" w:eastAsia="Times New Roman" w:hAnsi="Times New Roman"/>
          <w:b/>
          <w:sz w:val="24"/>
          <w:szCs w:val="24"/>
          <w:lang w:eastAsia="ru-RU"/>
        </w:rPr>
        <w:t>, при про</w:t>
      </w:r>
      <w:r w:rsidR="002341B8">
        <w:rPr>
          <w:rFonts w:ascii="Times New Roman" w:eastAsia="Times New Roman" w:hAnsi="Times New Roman"/>
          <w:b/>
          <w:sz w:val="24"/>
          <w:szCs w:val="24"/>
          <w:lang w:eastAsia="ru-RU"/>
        </w:rPr>
        <w:t>изводстве</w:t>
      </w:r>
    </w:p>
    <w:p w:rsidR="00B81F32" w:rsidRDefault="00B81F32" w:rsidP="001F5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F32">
        <w:rPr>
          <w:rFonts w:ascii="Times New Roman" w:hAnsi="Times New Roman"/>
          <w:b/>
          <w:sz w:val="24"/>
          <w:szCs w:val="24"/>
        </w:rPr>
        <w:t xml:space="preserve">работ по </w:t>
      </w:r>
      <w:r>
        <w:rPr>
          <w:rFonts w:ascii="Times New Roman" w:hAnsi="Times New Roman"/>
          <w:b/>
          <w:sz w:val="24"/>
          <w:szCs w:val="24"/>
        </w:rPr>
        <w:t>строительству, реконструкции,</w:t>
      </w:r>
    </w:p>
    <w:p w:rsidR="00B81F32" w:rsidRPr="00B81F32" w:rsidRDefault="00B81F32" w:rsidP="001F5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1F32">
        <w:rPr>
          <w:rFonts w:ascii="Times New Roman" w:hAnsi="Times New Roman"/>
          <w:b/>
          <w:sz w:val="24"/>
          <w:szCs w:val="24"/>
        </w:rPr>
        <w:t>капитальному ремонту, ремонту</w:t>
      </w:r>
    </w:p>
    <w:p w:rsidR="00330796" w:rsidRDefault="00330796" w:rsidP="001F5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F32" w:rsidRDefault="00B81F32" w:rsidP="001F5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61BB" w:rsidRDefault="00F93710" w:rsidP="001F5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</w:t>
      </w:r>
      <w:r w:rsidR="002341B8">
        <w:rPr>
          <w:rFonts w:ascii="Times New Roman" w:hAnsi="Times New Roman"/>
          <w:sz w:val="24"/>
          <w:szCs w:val="24"/>
        </w:rPr>
        <w:t xml:space="preserve">№ </w:t>
      </w:r>
      <w:r w:rsidR="002341B8" w:rsidRPr="002341B8">
        <w:rPr>
          <w:rFonts w:ascii="Times New Roman" w:hAnsi="Times New Roman"/>
          <w:sz w:val="24"/>
          <w:szCs w:val="24"/>
        </w:rPr>
        <w:t xml:space="preserve">443-ФЗ от 29.12.2017 </w:t>
      </w:r>
      <w:r w:rsidR="002341B8">
        <w:rPr>
          <w:rFonts w:ascii="Times New Roman" w:hAnsi="Times New Roman"/>
          <w:sz w:val="24"/>
          <w:szCs w:val="24"/>
        </w:rPr>
        <w:t>г. «</w:t>
      </w:r>
      <w:r w:rsidR="002341B8" w:rsidRPr="002341B8">
        <w:rPr>
          <w:rFonts w:ascii="Times New Roman" w:hAnsi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</w:t>
      </w:r>
      <w:r w:rsidR="002341B8">
        <w:rPr>
          <w:rFonts w:ascii="Times New Roman" w:hAnsi="Times New Roman"/>
          <w:sz w:val="24"/>
          <w:szCs w:val="24"/>
        </w:rPr>
        <w:t>льные акты Российской Федерации», письмом № 6546 от 18.04.2019 г. ОМВД России по Ярославскому району УМВД России по Ярославской области о включении ОГИБДД ОМВД России по</w:t>
      </w:r>
      <w:proofErr w:type="gramEnd"/>
      <w:r w:rsidR="002341B8">
        <w:rPr>
          <w:rFonts w:ascii="Times New Roman" w:hAnsi="Times New Roman"/>
          <w:sz w:val="24"/>
          <w:szCs w:val="24"/>
        </w:rPr>
        <w:t xml:space="preserve"> Ярославскому району в перечень организаций согласующих проекты организации дорожного движения, </w:t>
      </w:r>
      <w:r w:rsidR="00F911D0">
        <w:rPr>
          <w:rFonts w:ascii="Times New Roman" w:hAnsi="Times New Roman"/>
          <w:sz w:val="24"/>
          <w:szCs w:val="24"/>
        </w:rPr>
        <w:t>Администрация Ивняковского сельского поселения Ярославского муниципального района Ярославской области</w:t>
      </w:r>
    </w:p>
    <w:p w:rsidR="00F93710" w:rsidRDefault="00F93710" w:rsidP="001F5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4E1" w:rsidRDefault="001F54E1" w:rsidP="001F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F54E1" w:rsidRDefault="001F54E1" w:rsidP="001F5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1B8" w:rsidRPr="00CE5C3F" w:rsidRDefault="002341B8" w:rsidP="002341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3F">
        <w:rPr>
          <w:rFonts w:ascii="Times New Roman" w:hAnsi="Times New Roman"/>
          <w:sz w:val="24"/>
          <w:szCs w:val="24"/>
        </w:rPr>
        <w:t>В целях обеспечения необходимого уровня безопасности дорожного движения на автомобильных дорогах Ивняковского сельского поселения Ярославского муниципального района Ярославской области при производстве работ по строительству, реконструкции, капитальному ремонту, ремонту</w:t>
      </w:r>
      <w:r w:rsidR="00CE5C3F" w:rsidRPr="00CE5C3F">
        <w:rPr>
          <w:rFonts w:ascii="Times New Roman" w:hAnsi="Times New Roman"/>
          <w:sz w:val="24"/>
          <w:szCs w:val="24"/>
        </w:rPr>
        <w:t>, утвердить перечень лиц (организаций), которые наделяются полномочиями по согласованию проектов организации дорожного движения, разрабатываемых для автомобильных дорог либо их участков.</w:t>
      </w:r>
    </w:p>
    <w:p w:rsidR="00CE5C3F" w:rsidRDefault="00CE5C3F" w:rsidP="00F924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E5C3F">
        <w:rPr>
          <w:rFonts w:ascii="Times New Roman" w:hAnsi="Times New Roman"/>
          <w:sz w:val="24"/>
          <w:szCs w:val="24"/>
        </w:rPr>
        <w:t>перечень лиц (организаций), которые наделяются полномочиями по согласованию проектов организации дорожного движения, разрабатываемых для автомобильных дорог либо их участков</w:t>
      </w:r>
      <w:r>
        <w:rPr>
          <w:rFonts w:ascii="Times New Roman" w:hAnsi="Times New Roman"/>
          <w:sz w:val="24"/>
          <w:szCs w:val="24"/>
        </w:rPr>
        <w:t>, включить:</w:t>
      </w:r>
    </w:p>
    <w:p w:rsidR="00CE5C3F" w:rsidRDefault="00222BB1" w:rsidP="00222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Администрацию Ивняковского сельского поселения Ярославского муниципального района Ярославской области.</w:t>
      </w:r>
    </w:p>
    <w:p w:rsidR="00222BB1" w:rsidRPr="00222BB1" w:rsidRDefault="00222BB1" w:rsidP="00222B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ОГИБДД ОМВД России по Ярославскому району УМВД России по Ярославской области.</w:t>
      </w:r>
    </w:p>
    <w:p w:rsidR="001F54E1" w:rsidRDefault="001F54E1" w:rsidP="001F54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Обнародовать постановление путем размещения на официальном сайте Администрации Ивняковского сельского поселения Ярославского муниципального района Ярославской области в информационно-телекоммуникационной сети «Интернет».</w:t>
      </w:r>
    </w:p>
    <w:p w:rsidR="00222BB1" w:rsidRDefault="00222BB1" w:rsidP="001F54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>Опубликовать постановление в газете «</w:t>
      </w:r>
      <w:proofErr w:type="gramStart"/>
      <w:r w:rsidRPr="005B4665">
        <w:rPr>
          <w:rFonts w:ascii="Times New Roman" w:hAnsi="Times New Roman"/>
          <w:sz w:val="24"/>
          <w:szCs w:val="24"/>
        </w:rPr>
        <w:t>Ярославский</w:t>
      </w:r>
      <w:proofErr w:type="gramEnd"/>
      <w:r w:rsidRPr="005B4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665">
        <w:rPr>
          <w:rFonts w:ascii="Times New Roman" w:hAnsi="Times New Roman"/>
          <w:sz w:val="24"/>
          <w:szCs w:val="24"/>
        </w:rPr>
        <w:t>агрокурьер</w:t>
      </w:r>
      <w:proofErr w:type="spellEnd"/>
      <w:r w:rsidRPr="005B466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F54E1" w:rsidRDefault="001F54E1" w:rsidP="001F54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Ивняковского сельского поселения Ярославского </w:t>
      </w:r>
      <w:r w:rsidR="00F9244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Ярославской области </w:t>
      </w:r>
      <w:proofErr w:type="spellStart"/>
      <w:r>
        <w:rPr>
          <w:rFonts w:ascii="Times New Roman" w:hAnsi="Times New Roman"/>
          <w:sz w:val="24"/>
          <w:szCs w:val="24"/>
        </w:rPr>
        <w:t>Буличенко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1F54E1" w:rsidRDefault="001F54E1" w:rsidP="001F54E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1F54E1" w:rsidRDefault="001F54E1" w:rsidP="001F54E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7B0" w:rsidRDefault="001427B0" w:rsidP="001F54E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27B0" w:rsidRDefault="001427B0" w:rsidP="001F54E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54E1" w:rsidRDefault="001F54E1" w:rsidP="001F54E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Ивняковского сельского поселения</w:t>
      </w:r>
    </w:p>
    <w:p w:rsidR="001427B0" w:rsidRDefault="001F54E1" w:rsidP="00A044C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Ярославского муниципального района Ярославской области</w:t>
      </w:r>
    </w:p>
    <w:p w:rsidR="00A044CF" w:rsidRDefault="001F54E1" w:rsidP="001427B0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/>
          <w:sz w:val="24"/>
          <w:szCs w:val="24"/>
        </w:rPr>
        <w:t>Цуренкова</w:t>
      </w:r>
      <w:proofErr w:type="spellEnd"/>
    </w:p>
    <w:p w:rsidR="001427B0" w:rsidRDefault="001427B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427B0" w:rsidRDefault="001427B0" w:rsidP="00A044C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4E1" w:rsidRDefault="001F54E1" w:rsidP="00A044C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A044C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54E1" w:rsidRDefault="001F54E1" w:rsidP="001F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53"/>
        <w:gridCol w:w="2182"/>
        <w:gridCol w:w="728"/>
        <w:gridCol w:w="2173"/>
      </w:tblGrid>
      <w:tr w:rsidR="001F54E1" w:rsidTr="00A044CF">
        <w:trPr>
          <w:trHeight w:val="567"/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1" w:rsidRDefault="001F54E1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bottom"/>
          </w:tcPr>
          <w:p w:rsidR="001F54E1" w:rsidRDefault="001F54E1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4E1" w:rsidRDefault="001F54E1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1F54E1" w:rsidRDefault="001F54E1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54E1" w:rsidRDefault="001F54E1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044CF" w:rsidTr="00A044CF">
        <w:trPr>
          <w:trHeight w:val="56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4CF" w:rsidRDefault="00A044CF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bottom"/>
          </w:tcPr>
          <w:p w:rsidR="00A044CF" w:rsidRDefault="00A044CF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4CF" w:rsidRDefault="00A044CF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Align w:val="bottom"/>
          </w:tcPr>
          <w:p w:rsidR="00A044CF" w:rsidRDefault="00A044CF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4CF" w:rsidRDefault="00A044CF" w:rsidP="00A04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58382B" w:rsidRDefault="0058382B" w:rsidP="00583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382B" w:rsidSect="00F92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631"/>
    <w:multiLevelType w:val="hybridMultilevel"/>
    <w:tmpl w:val="113699FE"/>
    <w:lvl w:ilvl="0" w:tplc="8E2CDA8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C9"/>
    <w:multiLevelType w:val="hybridMultilevel"/>
    <w:tmpl w:val="66100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B"/>
    <w:rsid w:val="00060978"/>
    <w:rsid w:val="00082BBD"/>
    <w:rsid w:val="001427B0"/>
    <w:rsid w:val="001F54E1"/>
    <w:rsid w:val="00222BB1"/>
    <w:rsid w:val="002341B8"/>
    <w:rsid w:val="00330796"/>
    <w:rsid w:val="0058382B"/>
    <w:rsid w:val="00631646"/>
    <w:rsid w:val="007E2164"/>
    <w:rsid w:val="009D61BB"/>
    <w:rsid w:val="00A044CF"/>
    <w:rsid w:val="00A15CDE"/>
    <w:rsid w:val="00B81F32"/>
    <w:rsid w:val="00C0781C"/>
    <w:rsid w:val="00CE5C3F"/>
    <w:rsid w:val="00F911D0"/>
    <w:rsid w:val="00F92440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E1"/>
    <w:pPr>
      <w:ind w:left="720"/>
      <w:contextualSpacing/>
    </w:pPr>
  </w:style>
  <w:style w:type="table" w:styleId="a4">
    <w:name w:val="Table Grid"/>
    <w:basedOn w:val="a1"/>
    <w:uiPriority w:val="59"/>
    <w:rsid w:val="001F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7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E1"/>
    <w:pPr>
      <w:ind w:left="720"/>
      <w:contextualSpacing/>
    </w:pPr>
  </w:style>
  <w:style w:type="table" w:styleId="a4">
    <w:name w:val="Table Grid"/>
    <w:basedOn w:val="a1"/>
    <w:uiPriority w:val="59"/>
    <w:rsid w:val="001F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54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2019-04-29T11:48:00Z</cp:lastPrinted>
  <dcterms:created xsi:type="dcterms:W3CDTF">2019-04-29T10:31:00Z</dcterms:created>
  <dcterms:modified xsi:type="dcterms:W3CDTF">2019-05-16T10:35:00Z</dcterms:modified>
</cp:coreProperties>
</file>