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84578" w:rsidRPr="002D35BE" w:rsidRDefault="00B362D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D6AA7" w:rsidRDefault="00C8457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46A5C" w:rsidRPr="002D35BE">
        <w:rPr>
          <w:rFonts w:ascii="Times New Roman" w:hAnsi="Times New Roman"/>
          <w:sz w:val="24"/>
          <w:szCs w:val="24"/>
        </w:rPr>
        <w:t xml:space="preserve"> </w:t>
      </w:r>
    </w:p>
    <w:p w:rsidR="008D6AA7" w:rsidRDefault="008D6AA7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8D6AA7" w:rsidRDefault="008D6AA7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578CA" w:rsidRDefault="008D6AA7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17B93" w:rsidTr="00D17B93">
        <w:trPr>
          <w:trHeight w:val="841"/>
        </w:trPr>
        <w:tc>
          <w:tcPr>
            <w:tcW w:w="5068" w:type="dxa"/>
          </w:tcPr>
          <w:p w:rsidR="00D17B93" w:rsidRPr="00D17B93" w:rsidRDefault="00D17B93" w:rsidP="00D17B9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17B93">
              <w:rPr>
                <w:rFonts w:ascii="Times New Roman" w:hAnsi="Times New Roman"/>
                <w:sz w:val="22"/>
                <w:szCs w:val="22"/>
              </w:rPr>
              <w:t>Приложение к постановлению Администрации Ивняковского сельского поселения от 11 ноября 2020 № 21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D17B93" w:rsidRDefault="00D17B93" w:rsidP="00D17B93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5469D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5469D" w:rsidRDefault="00D90F6B" w:rsidP="00246A5C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25469D">
        <w:rPr>
          <w:rFonts w:ascii="Times New Roman" w:hAnsi="Times New Roman"/>
          <w:b/>
          <w:sz w:val="24"/>
          <w:szCs w:val="24"/>
        </w:rPr>
        <w:t>»</w:t>
      </w:r>
      <w:r w:rsidRPr="0025469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D2524" w:rsidRPr="006F7842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2D35BE" w:rsidRDefault="007274B2"/>
    <w:p w:rsidR="007112C9" w:rsidRPr="002D35BE" w:rsidRDefault="007112C9"/>
    <w:p w:rsidR="007112C9" w:rsidRPr="002D35BE" w:rsidRDefault="007112C9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C84578" w:rsidRPr="002D35BE" w:rsidRDefault="00C84578"/>
    <w:p w:rsidR="00C84578" w:rsidRDefault="00C84578"/>
    <w:p w:rsidR="00760440" w:rsidRDefault="00760440"/>
    <w:p w:rsidR="00D17B93" w:rsidRDefault="00D17B93"/>
    <w:p w:rsidR="00D17B93" w:rsidRDefault="00D17B93"/>
    <w:p w:rsidR="00D17B93" w:rsidRDefault="00D17B93"/>
    <w:p w:rsidR="00D17B93" w:rsidRPr="002D35BE" w:rsidRDefault="00D17B93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Pr="0025469D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760440" w:rsidRDefault="00FC0AC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760440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760440">
        <w:rPr>
          <w:rFonts w:ascii="Times New Roman" w:hAnsi="Times New Roman"/>
          <w:b/>
          <w:sz w:val="24"/>
          <w:szCs w:val="24"/>
        </w:rPr>
        <w:t>»</w:t>
      </w:r>
      <w:r w:rsidRPr="00760440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6F7842" w:rsidRPr="0025469D" w:rsidRDefault="006F7842" w:rsidP="00A878AE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797"/>
        <w:gridCol w:w="7631"/>
      </w:tblGrid>
      <w:tr w:rsidR="00513B1F" w:rsidRPr="0025469D" w:rsidTr="00073875">
        <w:tc>
          <w:tcPr>
            <w:tcW w:w="1782" w:type="dxa"/>
          </w:tcPr>
          <w:p w:rsidR="00E070AF" w:rsidRPr="0025469D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3" w:type="dxa"/>
          </w:tcPr>
          <w:p w:rsidR="005125F6" w:rsidRPr="0025469D" w:rsidRDefault="00200D1D" w:rsidP="0076044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«Противодействие экстремизму и профилактика терроризма на территории Ивняковского сельского поселения ЯМР на 2021-2023 годы»</w:t>
            </w:r>
            <w:r w:rsidR="0076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578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25469D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513B1F" w:rsidRPr="0025469D" w:rsidTr="00073875">
        <w:tc>
          <w:tcPr>
            <w:tcW w:w="1782" w:type="dxa"/>
          </w:tcPr>
          <w:p w:rsidR="005125F6" w:rsidRPr="0025469D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25469D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25469D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25469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25469D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й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6 октября  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C0ACE" w:rsidRPr="0025469D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авления в Российской Федерации»;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от 25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FC0ACE" w:rsidRPr="0025469D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№ 130-ФЗ «О борьбе с терроризмом»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 от 06.03.2006 № 15-ФЗ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4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«О противодействии терроризму»;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от 25.07.2002 №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114-ФЗ «О противодействии экстремистской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деятельности»;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5F6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15.02.2006 № 116 «О мерах </w:t>
            </w:r>
            <w:r w:rsidR="00EA1825" w:rsidRPr="0025469D">
              <w:rPr>
                <w:rFonts w:ascii="Times New Roman" w:hAnsi="Times New Roman"/>
                <w:sz w:val="24"/>
                <w:szCs w:val="24"/>
              </w:rPr>
              <w:t>по противодействию терроризму»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3C4B8F" w:rsidP="006E6A90">
            <w:pPr>
              <w:ind w:hanging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6E6A90" w:rsidP="006E6A90">
            <w:pPr>
              <w:pStyle w:val="ConsPlusNonformat"/>
              <w:snapToGrid w:val="0"/>
              <w:ind w:hanging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4B8F"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63" w:type="dxa"/>
            <w:vAlign w:val="center"/>
          </w:tcPr>
          <w:p w:rsidR="003C4B8F" w:rsidRPr="002D35BE" w:rsidRDefault="000F7242" w:rsidP="006E6A90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0F7242" w:rsidP="006E6A90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- </w:t>
            </w:r>
            <w:proofErr w:type="spellStart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2C4E00" w:rsidRPr="002D35BE" w:rsidTr="001F5A10">
        <w:tc>
          <w:tcPr>
            <w:tcW w:w="1782" w:type="dxa"/>
            <w:vAlign w:val="center"/>
          </w:tcPr>
          <w:p w:rsidR="002C4E00" w:rsidRPr="002D35BE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2D35BE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2C4E00" w:rsidRPr="002D35BE" w:rsidRDefault="002C4E00" w:rsidP="006E6A90">
            <w:pPr>
              <w:pStyle w:val="ConsPlusCell"/>
              <w:widowControl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B0310E" w:rsidRPr="002D35BE" w:rsidRDefault="0018469A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2D35BE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906394" w:rsidRPr="002D35BE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2D35BE" w:rsidRDefault="00CD4A55" w:rsidP="00AC3AEA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513B1F" w:rsidRPr="002D35BE" w:rsidTr="00073875">
        <w:tc>
          <w:tcPr>
            <w:tcW w:w="1782" w:type="dxa"/>
          </w:tcPr>
          <w:p w:rsidR="00F052DA" w:rsidRPr="002D35BE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2D35BE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2D35BE">
              <w:rPr>
                <w:rStyle w:val="50"/>
                <w:sz w:val="22"/>
                <w:szCs w:val="22"/>
              </w:rPr>
              <w:lastRenderedPageBreak/>
              <w:t>Источники финансирования программы</w:t>
            </w:r>
          </w:p>
          <w:p w:rsidR="00E070AF" w:rsidRPr="002D35BE" w:rsidRDefault="00E070AF">
            <w:pPr>
              <w:ind w:firstLine="0"/>
            </w:pPr>
          </w:p>
        </w:tc>
        <w:tc>
          <w:tcPr>
            <w:tcW w:w="7563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513B1F" w:rsidRPr="002D35BE" w:rsidTr="00073875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2D35BE">
                    <w:rPr>
                      <w:rFonts w:ascii="Times New Roman" w:hAnsi="Times New Roman"/>
                    </w:rPr>
                    <w:lastRenderedPageBreak/>
                    <w:t xml:space="preserve">Источники </w:t>
                  </w:r>
                  <w:r w:rsidRPr="002D35BE">
                    <w:rPr>
                      <w:rFonts w:ascii="Times New Roman" w:hAnsi="Times New Roman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lastRenderedPageBreak/>
                    <w:t>Плановый объем финансирования</w:t>
                  </w:r>
                  <w:r w:rsidR="00566CEA" w:rsidRPr="002D35BE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513B1F" w:rsidRPr="002D35BE" w:rsidTr="00073875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35BE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D92089" w:rsidRPr="002D35BE" w:rsidTr="00073875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92089" w:rsidRPr="002D35BE" w:rsidRDefault="00D92089" w:rsidP="00D92089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lastRenderedPageBreak/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Pr="00D92089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920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Pr="002D35B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  <w:r w:rsidRPr="002D35B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Default="00D92089" w:rsidP="00D92089">
                  <w:pPr>
                    <w:ind w:firstLine="464"/>
                  </w:pPr>
                  <w:r w:rsidRPr="00BE2D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2089" w:rsidRDefault="00D92089" w:rsidP="00D92089">
                  <w:pPr>
                    <w:ind w:firstLine="464"/>
                  </w:pPr>
                  <w:r w:rsidRPr="00BE2D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513B1F" w:rsidRPr="002D35BE" w:rsidTr="00073875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92089" w:rsidRPr="002D35BE" w:rsidTr="00073875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b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64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64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E070AF" w:rsidRPr="002D35BE" w:rsidRDefault="00E070AF">
            <w:pPr>
              <w:ind w:firstLine="0"/>
            </w:pPr>
          </w:p>
        </w:tc>
      </w:tr>
      <w:tr w:rsidR="00513B1F" w:rsidRPr="002D35BE" w:rsidTr="00073875">
        <w:tc>
          <w:tcPr>
            <w:tcW w:w="1782" w:type="dxa"/>
          </w:tcPr>
          <w:p w:rsidR="0018469A" w:rsidRPr="002D35BE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35BE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2D35BE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63" w:type="dxa"/>
          </w:tcPr>
          <w:p w:rsidR="0018469A" w:rsidRPr="002D35BE" w:rsidRDefault="0018469A" w:rsidP="0039749E">
            <w:pPr>
              <w:ind w:firstLine="426"/>
              <w:rPr>
                <w:bCs/>
                <w:szCs w:val="28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39749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Главы </w:t>
            </w:r>
            <w:proofErr w:type="spellStart"/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Ивняковского</w:t>
            </w:r>
            <w:proofErr w:type="spellEnd"/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338" w:rsidRPr="002D35BE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39749E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3974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4E00" w:rsidRPr="002D35BE" w:rsidTr="00073875">
        <w:tc>
          <w:tcPr>
            <w:tcW w:w="1782" w:type="dxa"/>
          </w:tcPr>
          <w:p w:rsidR="002C4E00" w:rsidRPr="002D35BE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63" w:type="dxa"/>
          </w:tcPr>
          <w:p w:rsidR="002C4E00" w:rsidRPr="002D35BE" w:rsidRDefault="002C4E00" w:rsidP="00C25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Ежегодное снижение количества преступлений, совершенных на территории Ивняковского сельского поселения.</w:t>
            </w:r>
          </w:p>
        </w:tc>
      </w:tr>
    </w:tbl>
    <w:p w:rsidR="0018469A" w:rsidRPr="002D35BE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2D35BE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2D35BE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80"/>
        <w:gridCol w:w="2369"/>
        <w:gridCol w:w="1842"/>
        <w:gridCol w:w="1700"/>
      </w:tblGrid>
      <w:tr w:rsidR="00513B1F" w:rsidRPr="002D35BE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 тыс</w:t>
            </w:r>
            <w:proofErr w:type="gramStart"/>
            <w:r w:rsidR="00566CEA" w:rsidRPr="002D35BE">
              <w:rPr>
                <w:sz w:val="20"/>
                <w:szCs w:val="20"/>
              </w:rPr>
              <w:t>.р</w:t>
            </w:r>
            <w:proofErr w:type="gramEnd"/>
            <w:r w:rsidR="00566CEA" w:rsidRPr="002D35BE">
              <w:rPr>
                <w:sz w:val="20"/>
                <w:szCs w:val="20"/>
              </w:rPr>
              <w:t>уб.</w:t>
            </w:r>
          </w:p>
        </w:tc>
      </w:tr>
      <w:tr w:rsidR="00513B1F" w:rsidRPr="002D35BE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974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2023</w:t>
            </w:r>
          </w:p>
        </w:tc>
      </w:tr>
      <w:tr w:rsidR="006F7842" w:rsidRPr="002D35BE" w:rsidTr="00927C01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Default="006F7842" w:rsidP="00EA1825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842" w:rsidRDefault="006F7842" w:rsidP="00EA1825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F7842" w:rsidRPr="002D35BE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EA1825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842" w:rsidRPr="00D92089" w:rsidRDefault="006F7842" w:rsidP="00EA1825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18469A" w:rsidRPr="002D35BE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5039D" w:rsidRPr="002D35BE" w:rsidRDefault="00E5039D" w:rsidP="00E5039D">
      <w:pPr>
        <w:jc w:val="center"/>
        <w:rPr>
          <w:rFonts w:ascii="Times New Roman" w:hAnsi="Times New Roman"/>
          <w:sz w:val="8"/>
          <w:szCs w:val="8"/>
        </w:rPr>
      </w:pPr>
    </w:p>
    <w:p w:rsidR="0018469A" w:rsidRPr="002D35BE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5BE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25469D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0E1BFF" w:rsidRPr="0025469D" w:rsidRDefault="000E1BFF" w:rsidP="000E1BFF">
      <w:pPr>
        <w:ind w:firstLine="708"/>
        <w:rPr>
          <w:rFonts w:ascii="Times New Roman" w:hAnsi="Times New Roman"/>
          <w:sz w:val="24"/>
          <w:szCs w:val="24"/>
        </w:rPr>
      </w:pPr>
      <w:bookmarkStart w:id="0" w:name="bookmark2"/>
      <w:r w:rsidRPr="0025469D">
        <w:rPr>
          <w:rFonts w:ascii="Times New Roman" w:hAnsi="Times New Roman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E1BFF" w:rsidRPr="0025469D" w:rsidRDefault="000E1BFF" w:rsidP="000E1BFF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</w:t>
      </w:r>
      <w:r w:rsidRPr="0025469D">
        <w:rPr>
          <w:rFonts w:ascii="Times New Roman" w:hAnsi="Times New Roman"/>
          <w:sz w:val="24"/>
          <w:szCs w:val="24"/>
        </w:rPr>
        <w:lastRenderedPageBreak/>
        <w:t>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27C01" w:rsidRPr="0025469D" w:rsidRDefault="00927C01" w:rsidP="00927C01">
      <w:pPr>
        <w:ind w:firstLine="709"/>
        <w:rPr>
          <w:rFonts w:ascii="Times New Roman" w:hAnsi="Times New Roman"/>
          <w:sz w:val="24"/>
          <w:szCs w:val="24"/>
        </w:rPr>
      </w:pPr>
    </w:p>
    <w:p w:rsidR="00A5540C" w:rsidRPr="002D35BE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2D35BE">
        <w:rPr>
          <w:b/>
          <w:bCs/>
          <w:sz w:val="24"/>
          <w:szCs w:val="24"/>
        </w:rPr>
        <w:t xml:space="preserve">Цель и </w:t>
      </w:r>
      <w:r w:rsidR="0018469A" w:rsidRPr="002D35BE">
        <w:rPr>
          <w:b/>
          <w:bCs/>
          <w:sz w:val="24"/>
          <w:szCs w:val="24"/>
        </w:rPr>
        <w:t>задачи Программы</w:t>
      </w:r>
    </w:p>
    <w:bookmarkEnd w:id="0"/>
    <w:p w:rsidR="00623A66" w:rsidRDefault="0025469D" w:rsidP="009E645A">
      <w:pPr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Ц</w:t>
      </w:r>
      <w:r w:rsidR="009E645A" w:rsidRPr="0025469D">
        <w:rPr>
          <w:rFonts w:ascii="Times New Roman" w:hAnsi="Times New Roman"/>
          <w:sz w:val="24"/>
          <w:szCs w:val="24"/>
        </w:rPr>
        <w:t>ель Программы</w:t>
      </w:r>
      <w:r w:rsidR="00623A66">
        <w:rPr>
          <w:rFonts w:ascii="Times New Roman" w:hAnsi="Times New Roman"/>
          <w:sz w:val="24"/>
          <w:szCs w:val="24"/>
        </w:rPr>
        <w:t>:</w:t>
      </w:r>
    </w:p>
    <w:p w:rsidR="009E645A" w:rsidRPr="0025469D" w:rsidRDefault="009E645A" w:rsidP="009E645A">
      <w:pPr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A66">
        <w:rPr>
          <w:rFonts w:ascii="Times New Roman" w:hAnsi="Times New Roman"/>
          <w:sz w:val="24"/>
          <w:szCs w:val="24"/>
        </w:rPr>
        <w:t>О</w:t>
      </w:r>
      <w:r w:rsidRPr="0025469D">
        <w:rPr>
          <w:rFonts w:ascii="Times New Roman" w:hAnsi="Times New Roman"/>
          <w:sz w:val="24"/>
          <w:szCs w:val="24"/>
        </w:rPr>
        <w:t xml:space="preserve">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Ивняковского сельского поселения Ярославского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  <w:proofErr w:type="gramEnd"/>
    </w:p>
    <w:p w:rsidR="009E645A" w:rsidRPr="0025469D" w:rsidRDefault="0025469D" w:rsidP="0025469D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З</w:t>
      </w:r>
      <w:r w:rsidR="009E645A" w:rsidRPr="0025469D">
        <w:rPr>
          <w:rFonts w:ascii="Times New Roman" w:hAnsi="Times New Roman"/>
          <w:sz w:val="24"/>
          <w:szCs w:val="24"/>
        </w:rPr>
        <w:t>адач</w:t>
      </w:r>
      <w:r w:rsidR="00623A66">
        <w:rPr>
          <w:rFonts w:ascii="Times New Roman" w:hAnsi="Times New Roman"/>
          <w:sz w:val="24"/>
          <w:szCs w:val="24"/>
        </w:rPr>
        <w:t>и</w:t>
      </w:r>
      <w:r w:rsidR="009E645A" w:rsidRPr="0025469D">
        <w:rPr>
          <w:rFonts w:ascii="Times New Roman" w:hAnsi="Times New Roman"/>
          <w:sz w:val="24"/>
          <w:szCs w:val="24"/>
        </w:rPr>
        <w:t xml:space="preserve"> Программы:</w:t>
      </w:r>
    </w:p>
    <w:p w:rsidR="004E5C84" w:rsidRPr="0025469D" w:rsidRDefault="00E516FA" w:rsidP="00D31299">
      <w:pPr>
        <w:ind w:firstLine="708"/>
        <w:rPr>
          <w:rFonts w:ascii="Times New Roman" w:hAnsi="Times New Roman"/>
        </w:rPr>
      </w:pPr>
      <w:r w:rsidRPr="0025469D">
        <w:rPr>
          <w:rFonts w:ascii="Times New Roman" w:hAnsi="Times New Roman"/>
          <w:sz w:val="24"/>
          <w:szCs w:val="24"/>
        </w:rPr>
        <w:t xml:space="preserve">- </w:t>
      </w:r>
      <w:r w:rsidR="00055E6E" w:rsidRPr="00055E6E">
        <w:rPr>
          <w:rFonts w:ascii="Times New Roman" w:hAnsi="Times New Roman"/>
          <w:sz w:val="24"/>
          <w:szCs w:val="24"/>
        </w:rPr>
        <w:t>Проведение мероприятий, направленных на противодействие экстремизма и профилактику терроризма на территории Ивняковского сельского поселения</w:t>
      </w:r>
    </w:p>
    <w:p w:rsidR="006571AA" w:rsidRPr="0025469D" w:rsidRDefault="00E516FA" w:rsidP="00E54FB0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- </w:t>
      </w:r>
      <w:r w:rsidR="00D31299">
        <w:rPr>
          <w:rFonts w:ascii="Times New Roman" w:hAnsi="Times New Roman"/>
          <w:sz w:val="24"/>
          <w:szCs w:val="24"/>
        </w:rPr>
        <w:t>совершенствование нормативно-правовой базы.</w:t>
      </w:r>
    </w:p>
    <w:p w:rsidR="00F002DE" w:rsidRPr="0025469D" w:rsidRDefault="00F002DE" w:rsidP="007934C8">
      <w:pPr>
        <w:ind w:firstLine="0"/>
        <w:rPr>
          <w:rFonts w:ascii="Times New Roman" w:hAnsi="Times New Roman"/>
          <w:sz w:val="24"/>
          <w:szCs w:val="24"/>
        </w:rPr>
      </w:pPr>
    </w:p>
    <w:p w:rsidR="00F002DE" w:rsidRDefault="00F002DE" w:rsidP="007934C8">
      <w:pPr>
        <w:ind w:firstLine="0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F002DE" w:rsidRPr="006571AA" w:rsidRDefault="00F002DE" w:rsidP="007934C8">
      <w:pPr>
        <w:ind w:firstLine="0"/>
        <w:rPr>
          <w:rFonts w:ascii="Times New Roman" w:hAnsi="Times New Roman"/>
        </w:rPr>
        <w:sectPr w:rsidR="00F002DE" w:rsidRPr="006571AA" w:rsidSect="002578CA">
          <w:footerReference w:type="even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3A66" w:rsidRPr="003774EE" w:rsidRDefault="005805BE" w:rsidP="003774EE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774EE">
        <w:rPr>
          <w:rFonts w:ascii="Times New Roman" w:hAnsi="Times New Roman"/>
          <w:b/>
          <w:sz w:val="24"/>
          <w:szCs w:val="24"/>
        </w:rPr>
        <w:lastRenderedPageBreak/>
        <w:t>Пе</w:t>
      </w:r>
      <w:r w:rsidR="007934C8" w:rsidRPr="003774EE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623A66" w:rsidRPr="003774EE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</w:t>
      </w:r>
    </w:p>
    <w:p w:rsidR="00623A66" w:rsidRPr="0025469D" w:rsidRDefault="00623A66" w:rsidP="00623A66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на территории Ивняковского сельского поселения ЯМР</w:t>
      </w:r>
      <w:r w:rsidR="00A40E8B" w:rsidRPr="0025469D">
        <w:rPr>
          <w:rFonts w:ascii="Times New Roman" w:hAnsi="Times New Roman"/>
          <w:b/>
          <w:sz w:val="24"/>
          <w:szCs w:val="24"/>
        </w:rPr>
        <w:t>»</w:t>
      </w:r>
      <w:r w:rsidRPr="0025469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BA20B7" w:rsidRPr="002D35BE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7152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20"/>
        <w:gridCol w:w="4667"/>
        <w:gridCol w:w="1137"/>
        <w:gridCol w:w="993"/>
        <w:gridCol w:w="992"/>
        <w:gridCol w:w="1842"/>
        <w:gridCol w:w="2125"/>
        <w:gridCol w:w="2409"/>
        <w:gridCol w:w="2409"/>
      </w:tblGrid>
      <w:tr w:rsidR="002D35BE" w:rsidRPr="002D35BE" w:rsidTr="00055E6E">
        <w:trPr>
          <w:gridAfter w:val="1"/>
          <w:wAfter w:w="2409" w:type="dxa"/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2D35BE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2D35BE" w:rsidRPr="002D35BE" w:rsidTr="00055E6E">
        <w:trPr>
          <w:gridAfter w:val="1"/>
          <w:wAfter w:w="2409" w:type="dxa"/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2023</w:t>
            </w:r>
          </w:p>
        </w:tc>
      </w:tr>
      <w:tr w:rsidR="002D35BE" w:rsidRPr="002D35BE" w:rsidTr="00055E6E">
        <w:trPr>
          <w:gridAfter w:val="1"/>
          <w:wAfter w:w="2409" w:type="dxa"/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8</w:t>
            </w:r>
          </w:p>
        </w:tc>
      </w:tr>
      <w:tr w:rsidR="002D35BE" w:rsidRPr="002D35BE" w:rsidTr="00055E6E">
        <w:trPr>
          <w:gridAfter w:val="1"/>
          <w:wAfter w:w="2409" w:type="dxa"/>
          <w:trHeight w:val="45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EE" w:rsidRDefault="00C53A35" w:rsidP="0025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5BE">
              <w:rPr>
                <w:rStyle w:val="10pt0"/>
                <w:color w:val="auto"/>
                <w:sz w:val="16"/>
                <w:szCs w:val="16"/>
              </w:rPr>
              <w:t>Цель:</w:t>
            </w:r>
            <w:r w:rsidR="003774EE">
              <w:rPr>
                <w:rStyle w:val="10pt0"/>
                <w:color w:val="auto"/>
                <w:sz w:val="16"/>
                <w:szCs w:val="16"/>
              </w:rPr>
              <w:t xml:space="preserve"> Р</w:t>
            </w:r>
            <w:r w:rsidR="0051146D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азвитие системы профилактики и повышение уровня безопасности граждан на территории Ивняковского сельского поселения </w:t>
            </w:r>
            <w:r w:rsidR="00073E83"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Ярославского муниципаль</w:t>
            </w:r>
            <w:r w:rsidR="00253C11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ного района </w:t>
            </w:r>
          </w:p>
          <w:p w:rsidR="00C53A35" w:rsidRPr="002D35BE" w:rsidRDefault="00253C11" w:rsidP="00253C11">
            <w:pPr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Ярославской области</w:t>
            </w:r>
          </w:p>
        </w:tc>
      </w:tr>
      <w:tr w:rsidR="006E6A90" w:rsidRPr="006E6A90" w:rsidTr="00055E6E">
        <w:trPr>
          <w:gridAfter w:val="1"/>
          <w:wAfter w:w="2409" w:type="dxa"/>
          <w:trHeight w:val="44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39749E" w:rsidRDefault="001F5A10" w:rsidP="00D3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093CFF" w:rsidRPr="0039749E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="00055E6E" w:rsidRPr="00055E6E">
              <w:rPr>
                <w:rFonts w:ascii="Times New Roman" w:hAnsi="Times New Roman"/>
                <w:b/>
                <w:sz w:val="16"/>
                <w:szCs w:val="16"/>
              </w:rPr>
              <w:t>Проведение мероприятий, направленных на противодействие экстремизма и профилактику терроризма на территории Ивняковского сельского поселения</w:t>
            </w:r>
          </w:p>
        </w:tc>
      </w:tr>
      <w:tr w:rsidR="006E6A90" w:rsidRPr="006E6A90" w:rsidTr="00055E6E">
        <w:trPr>
          <w:gridAfter w:val="1"/>
          <w:wAfter w:w="2409" w:type="dxa"/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98" w:rsidRPr="006E6A90" w:rsidRDefault="00FB6B98" w:rsidP="00FB6B9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EF64CF" w:rsidP="009E645A">
            <w:pPr>
              <w:autoSpaceDE/>
              <w:autoSpaceDN/>
              <w:adjustRightInd/>
              <w:ind w:right="28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FB6B98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FB6B98" w:rsidRPr="006E6A90" w:rsidRDefault="00FB6B98" w:rsidP="00FB6B9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FB6B98" w:rsidP="00FB6B9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39749E" w:rsidRDefault="00055E6E" w:rsidP="00FB6B9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CB6996" w:rsidRPr="006E6A90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B0310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55E6E" w:rsidRPr="006E6A90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Проведение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6061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56061" w:rsidRPr="006E6A90" w:rsidRDefault="00D31299" w:rsidP="00756061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11.5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Default="00756061" w:rsidP="0075606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 xml:space="preserve">Приобретение комплекта плакатов </w:t>
            </w:r>
            <w:proofErr w:type="gramStart"/>
            <w:r w:rsidRPr="006E6A90">
              <w:rPr>
                <w:rFonts w:ascii="Times New Roman" w:hAnsi="Times New Roman"/>
                <w:sz w:val="16"/>
                <w:szCs w:val="16"/>
              </w:rPr>
              <w:t>антитеррористической</w:t>
            </w:r>
            <w:proofErr w:type="gramEnd"/>
            <w:r w:rsidRPr="006E6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6061" w:rsidRPr="006E6A90" w:rsidRDefault="00756061" w:rsidP="0075606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культуры и по тематике и профилактике экстремизма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2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6061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56061" w:rsidRPr="006E6A90" w:rsidRDefault="00756061" w:rsidP="00756061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6</w:t>
            </w:r>
            <w:r w:rsidR="00D31299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autoSpaceDE/>
              <w:autoSpaceDN/>
              <w:adjustRightInd/>
              <w:ind w:right="430" w:firstLine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5AC9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5AC9" w:rsidRPr="006E6A90" w:rsidRDefault="00805AC9" w:rsidP="00805AC9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6</w:t>
            </w:r>
            <w:r w:rsidR="00D31299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autoSpaceDE/>
              <w:autoSpaceDN/>
              <w:adjustRightInd/>
              <w:ind w:firstLine="552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Приобре</w:t>
            </w:r>
            <w:r w:rsidR="00D31299">
              <w:rPr>
                <w:rFonts w:ascii="Times New Roman" w:hAnsi="Times New Roman"/>
                <w:sz w:val="16"/>
                <w:szCs w:val="16"/>
              </w:rPr>
              <w:t>тение</w:t>
            </w:r>
            <w:r w:rsidRPr="006E6A90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D31299">
              <w:rPr>
                <w:rFonts w:ascii="Times New Roman" w:hAnsi="Times New Roman"/>
                <w:sz w:val="16"/>
                <w:szCs w:val="16"/>
              </w:rPr>
              <w:t>размещениие</w:t>
            </w:r>
            <w:proofErr w:type="spellEnd"/>
            <w:r w:rsidRPr="006E6A90">
              <w:rPr>
                <w:rFonts w:ascii="Times New Roman" w:hAnsi="Times New Roman"/>
                <w:sz w:val="16"/>
                <w:szCs w:val="16"/>
              </w:rPr>
              <w:t xml:space="preserve"> плакаты по профилактике</w:t>
            </w:r>
          </w:p>
          <w:p w:rsidR="00805AC9" w:rsidRPr="006E6A90" w:rsidRDefault="00805AC9" w:rsidP="00805AC9">
            <w:pPr>
              <w:autoSpaceDE/>
              <w:autoSpaceDN/>
              <w:adjustRightInd/>
              <w:ind w:right="572" w:firstLine="5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экстремизма и терроризма на территории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805AC9" w:rsidRPr="006E6A90" w:rsidRDefault="00805AC9" w:rsidP="00805AC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140562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14056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9749E">
              <w:rPr>
                <w:b/>
                <w:sz w:val="16"/>
                <w:szCs w:val="16"/>
              </w:rPr>
              <w:t xml:space="preserve">Всего по задаче </w:t>
            </w:r>
            <w:r>
              <w:rPr>
                <w:b/>
                <w:sz w:val="16"/>
                <w:szCs w:val="16"/>
              </w:rPr>
              <w:t>1,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453"/>
              <w:jc w:val="center"/>
              <w:rPr>
                <w:rFonts w:ascii="Times New Roman" w:hAnsi="Times New Roman"/>
                <w:b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D31299" w:rsidRPr="002D35BE" w:rsidTr="00055E6E">
        <w:trPr>
          <w:gridAfter w:val="1"/>
          <w:wAfter w:w="2409" w:type="dxa"/>
          <w:trHeight w:val="33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299" w:rsidRPr="00805AC9" w:rsidRDefault="00D31299" w:rsidP="00E8232A">
            <w:pPr>
              <w:ind w:hanging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Совершенствование </w:t>
            </w:r>
            <w:proofErr w:type="gramStart"/>
            <w:r>
              <w:rPr>
                <w:rFonts w:ascii="Times New Roman" w:hAnsi="Times New Roman"/>
              </w:rPr>
              <w:t>нормативно-правовой</w:t>
            </w:r>
            <w:proofErr w:type="gramEnd"/>
            <w:r>
              <w:rPr>
                <w:rFonts w:ascii="Times New Roman" w:hAnsi="Times New Roman"/>
              </w:rPr>
              <w:t xml:space="preserve"> база</w:t>
            </w:r>
            <w:r w:rsidR="00055E6E">
              <w:rPr>
                <w:rFonts w:ascii="Times New Roman" w:hAnsi="Times New Roman"/>
              </w:rPr>
              <w:t xml:space="preserve"> Ивняковского сельского поселения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  <w:r w:rsidRPr="00055E6E">
              <w:rPr>
                <w:rStyle w:val="10pt0"/>
                <w:b w:val="0"/>
                <w:color w:val="auto"/>
                <w:sz w:val="16"/>
                <w:szCs w:val="16"/>
              </w:rPr>
              <w:t>2.1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  <w:r>
              <w:rPr>
                <w:rStyle w:val="10pt0"/>
                <w:b w:val="0"/>
                <w:color w:val="auto"/>
                <w:sz w:val="16"/>
                <w:szCs w:val="16"/>
              </w:rPr>
              <w:t>Разработка нормативных актов по профилактике терроризма и экстремизма на территории Ивняковского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 xml:space="preserve">Бюджет </w:t>
            </w:r>
          </w:p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Default="00055E6E" w:rsidP="00756061">
            <w:pPr>
              <w:pStyle w:val="10"/>
              <w:spacing w:line="200" w:lineRule="exact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  <w:r>
              <w:rPr>
                <w:rStyle w:val="10pt0"/>
                <w:b w:val="0"/>
                <w:color w:val="auto"/>
                <w:sz w:val="16"/>
                <w:szCs w:val="16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 xml:space="preserve">Бюджет </w:t>
            </w:r>
          </w:p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</w:tbl>
    <w:p w:rsidR="0018131E" w:rsidRPr="002D35BE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2D35BE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B629AE" w:rsidRPr="002D35BE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2D35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2D35BE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</w:t>
            </w:r>
            <w:r w:rsidR="000A518E" w:rsidRPr="002D35BE">
              <w:rPr>
                <w:sz w:val="20"/>
                <w:szCs w:val="20"/>
              </w:rPr>
              <w:t xml:space="preserve"> </w:t>
            </w:r>
            <w:r w:rsidR="00566CEA" w:rsidRPr="002D35BE">
              <w:rPr>
                <w:sz w:val="20"/>
                <w:szCs w:val="20"/>
              </w:rPr>
              <w:t>тыс</w:t>
            </w:r>
            <w:proofErr w:type="gramStart"/>
            <w:r w:rsidR="000A518E" w:rsidRPr="002D35BE">
              <w:rPr>
                <w:sz w:val="20"/>
                <w:szCs w:val="20"/>
              </w:rPr>
              <w:t>.</w:t>
            </w:r>
            <w:r w:rsidR="00566CEA" w:rsidRPr="002D35BE">
              <w:rPr>
                <w:sz w:val="20"/>
                <w:szCs w:val="20"/>
              </w:rPr>
              <w:t>.</w:t>
            </w:r>
            <w:proofErr w:type="gramEnd"/>
            <w:r w:rsidR="00566CEA" w:rsidRPr="002D35BE">
              <w:rPr>
                <w:sz w:val="20"/>
                <w:szCs w:val="20"/>
              </w:rPr>
              <w:t>руб.</w:t>
            </w:r>
          </w:p>
        </w:tc>
      </w:tr>
      <w:tr w:rsidR="00513B1F" w:rsidRPr="002D35BE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2023</w:t>
            </w:r>
          </w:p>
        </w:tc>
      </w:tr>
      <w:tr w:rsidR="00A93A2D" w:rsidRPr="002D35BE" w:rsidTr="001F5A10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Default="00A93A2D" w:rsidP="00A93A2D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A2D" w:rsidRDefault="00A93A2D" w:rsidP="00A93A2D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A93A2D" w:rsidRPr="002D35BE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1F5A10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2D35B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2D35BE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2D35BE">
        <w:rPr>
          <w:rFonts w:ascii="Times New Roman" w:hAnsi="Times New Roman"/>
          <w:sz w:val="24"/>
          <w:szCs w:val="24"/>
        </w:rPr>
        <w:t>Ивняковского</w:t>
      </w:r>
      <w:r w:rsidRPr="002D35BE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2D35BE" w:rsidRDefault="00C02D48" w:rsidP="00C02D48">
      <w:pPr>
        <w:ind w:firstLine="426"/>
        <w:rPr>
          <w:szCs w:val="28"/>
        </w:rPr>
      </w:pPr>
    </w:p>
    <w:p w:rsidR="00B629AE" w:rsidRPr="002D35BE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2D35BE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2D35BE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2D35BE">
        <w:rPr>
          <w:rFonts w:ascii="Times New Roman" w:hAnsi="Times New Roman"/>
          <w:sz w:val="24"/>
          <w:szCs w:val="24"/>
        </w:rPr>
        <w:t>.</w:t>
      </w:r>
    </w:p>
    <w:p w:rsidR="001F0CEB" w:rsidRPr="002D35BE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247"/>
        <w:gridCol w:w="1134"/>
        <w:gridCol w:w="1276"/>
        <w:gridCol w:w="1275"/>
        <w:gridCol w:w="1275"/>
      </w:tblGrid>
      <w:tr w:rsidR="001F0CEB" w:rsidRPr="002D35BE" w:rsidTr="00C97309">
        <w:tc>
          <w:tcPr>
            <w:tcW w:w="339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 2020г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623A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23A66">
              <w:rPr>
                <w:rFonts w:ascii="Times New Roman" w:hAnsi="Times New Roman"/>
                <w:sz w:val="24"/>
                <w:szCs w:val="24"/>
              </w:rPr>
              <w:t>случаев проявления экстремизма и терроризма</w:t>
            </w:r>
          </w:p>
        </w:tc>
        <w:tc>
          <w:tcPr>
            <w:tcW w:w="1247" w:type="dxa"/>
            <w:vAlign w:val="center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6FA" w:rsidRDefault="00E516FA" w:rsidP="003774E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Методика применяется для оценки результативности и эффективности реализации МП. 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100%,   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100%,  где: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значении «Р»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522496" w:rsidRDefault="00522496" w:rsidP="00522496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÷ (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>
        <w:rPr>
          <w:rFonts w:ascii="Times New Roman" w:hAnsi="Times New Roman"/>
          <w:i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факт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522496" w:rsidRDefault="00522496" w:rsidP="00522496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522496" w:rsidRPr="002D35BE" w:rsidRDefault="00522496" w:rsidP="0052249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2496" w:rsidRDefault="00522496" w:rsidP="003774EE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522496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6E" w:rsidRDefault="00055E6E" w:rsidP="00F052DA">
      <w:r>
        <w:separator/>
      </w:r>
    </w:p>
  </w:endnote>
  <w:endnote w:type="continuationSeparator" w:id="1">
    <w:p w:rsidR="00055E6E" w:rsidRDefault="00055E6E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6E" w:rsidRDefault="007C06BF">
    <w:pPr>
      <w:rPr>
        <w:sz w:val="2"/>
        <w:szCs w:val="2"/>
      </w:rPr>
    </w:pPr>
    <w:r w:rsidRPr="007C06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2529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055E6E" w:rsidRDefault="007C06BF">
                <w:r w:rsidRPr="007C06BF">
                  <w:fldChar w:fldCharType="begin"/>
                </w:r>
                <w:r w:rsidR="00055E6E">
                  <w:instrText xml:space="preserve"> PAGE \* MERGEFORMAT </w:instrText>
                </w:r>
                <w:r w:rsidRPr="007C06BF">
                  <w:fldChar w:fldCharType="separate"/>
                </w:r>
                <w:r w:rsidR="00055E6E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6E" w:rsidRDefault="00055E6E" w:rsidP="00F052DA">
      <w:r>
        <w:separator/>
      </w:r>
    </w:p>
  </w:footnote>
  <w:footnote w:type="continuationSeparator" w:id="1">
    <w:p w:rsidR="00055E6E" w:rsidRDefault="00055E6E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39A"/>
    <w:rsid w:val="00047289"/>
    <w:rsid w:val="00052404"/>
    <w:rsid w:val="00052E60"/>
    <w:rsid w:val="00053871"/>
    <w:rsid w:val="000539CB"/>
    <w:rsid w:val="00055E6E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90711"/>
    <w:rsid w:val="00093CFF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1BFF"/>
    <w:rsid w:val="000E23F3"/>
    <w:rsid w:val="000E3480"/>
    <w:rsid w:val="000F2609"/>
    <w:rsid w:val="000F4B5B"/>
    <w:rsid w:val="000F5614"/>
    <w:rsid w:val="000F7242"/>
    <w:rsid w:val="001023EA"/>
    <w:rsid w:val="00105833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0562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469D"/>
    <w:rsid w:val="0025728E"/>
    <w:rsid w:val="002578CA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E00"/>
    <w:rsid w:val="002C4FBE"/>
    <w:rsid w:val="002C64E0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74EE"/>
    <w:rsid w:val="0038008C"/>
    <w:rsid w:val="003841B1"/>
    <w:rsid w:val="00384248"/>
    <w:rsid w:val="00390D78"/>
    <w:rsid w:val="003916B1"/>
    <w:rsid w:val="00391999"/>
    <w:rsid w:val="003930E8"/>
    <w:rsid w:val="0039749E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339F"/>
    <w:rsid w:val="004050EA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501BA4"/>
    <w:rsid w:val="005038E6"/>
    <w:rsid w:val="00504680"/>
    <w:rsid w:val="0051146D"/>
    <w:rsid w:val="005120EB"/>
    <w:rsid w:val="005125F6"/>
    <w:rsid w:val="00513B1F"/>
    <w:rsid w:val="005157E1"/>
    <w:rsid w:val="00516FD3"/>
    <w:rsid w:val="00521A91"/>
    <w:rsid w:val="00522496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6CEA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4A84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3A66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A88"/>
    <w:rsid w:val="0065593F"/>
    <w:rsid w:val="0065664A"/>
    <w:rsid w:val="00656FBA"/>
    <w:rsid w:val="006571A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6A90"/>
    <w:rsid w:val="006E7928"/>
    <w:rsid w:val="006E7AE7"/>
    <w:rsid w:val="006F07F6"/>
    <w:rsid w:val="006F19D6"/>
    <w:rsid w:val="006F32E5"/>
    <w:rsid w:val="006F7842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40DC7"/>
    <w:rsid w:val="00743075"/>
    <w:rsid w:val="007455CB"/>
    <w:rsid w:val="00751EF5"/>
    <w:rsid w:val="00753359"/>
    <w:rsid w:val="00753F26"/>
    <w:rsid w:val="00754C77"/>
    <w:rsid w:val="00754CE3"/>
    <w:rsid w:val="00756061"/>
    <w:rsid w:val="00757100"/>
    <w:rsid w:val="00757712"/>
    <w:rsid w:val="00760440"/>
    <w:rsid w:val="00760760"/>
    <w:rsid w:val="00762389"/>
    <w:rsid w:val="00762D62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06BF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55"/>
    <w:rsid w:val="007E6D10"/>
    <w:rsid w:val="007F3232"/>
    <w:rsid w:val="007F3617"/>
    <w:rsid w:val="007F45D2"/>
    <w:rsid w:val="007F587E"/>
    <w:rsid w:val="007F765F"/>
    <w:rsid w:val="00805AC9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473BA"/>
    <w:rsid w:val="00853824"/>
    <w:rsid w:val="00860D94"/>
    <w:rsid w:val="00862A7A"/>
    <w:rsid w:val="00863941"/>
    <w:rsid w:val="008739B8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AA7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5DDE"/>
    <w:rsid w:val="0099707E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45A"/>
    <w:rsid w:val="009E6D45"/>
    <w:rsid w:val="009F2F43"/>
    <w:rsid w:val="009F312C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0E8B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3A2D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BAF"/>
    <w:rsid w:val="00BA20B7"/>
    <w:rsid w:val="00BA2561"/>
    <w:rsid w:val="00BB0AA3"/>
    <w:rsid w:val="00BB0B3B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93"/>
    <w:rsid w:val="00D17BA3"/>
    <w:rsid w:val="00D20CD1"/>
    <w:rsid w:val="00D2538F"/>
    <w:rsid w:val="00D30E8A"/>
    <w:rsid w:val="00D31299"/>
    <w:rsid w:val="00D32A26"/>
    <w:rsid w:val="00D33F1B"/>
    <w:rsid w:val="00D360B5"/>
    <w:rsid w:val="00D41F76"/>
    <w:rsid w:val="00D420BD"/>
    <w:rsid w:val="00D449BB"/>
    <w:rsid w:val="00D5139C"/>
    <w:rsid w:val="00D513EB"/>
    <w:rsid w:val="00D56C37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87CF7"/>
    <w:rsid w:val="00D90F6B"/>
    <w:rsid w:val="00D9179F"/>
    <w:rsid w:val="00D92089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37CAA"/>
    <w:rsid w:val="00E416D9"/>
    <w:rsid w:val="00E425AA"/>
    <w:rsid w:val="00E464CD"/>
    <w:rsid w:val="00E5039D"/>
    <w:rsid w:val="00E516FA"/>
    <w:rsid w:val="00E5191E"/>
    <w:rsid w:val="00E54FB0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32A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1825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EF64CF"/>
    <w:rsid w:val="00F0009A"/>
    <w:rsid w:val="00F002DE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160E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A01F3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0ACE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63D4"/>
    <w:rsid w:val="00FF06EA"/>
    <w:rsid w:val="00FF0A37"/>
    <w:rsid w:val="00FF1C6F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3">
    <w:name w:val="Strong"/>
    <w:basedOn w:val="a0"/>
    <w:qFormat/>
    <w:rsid w:val="009E6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7E13-D163-43CF-9A2B-18574427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1800</Words>
  <Characters>12953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Хозяин</cp:lastModifiedBy>
  <cp:revision>2</cp:revision>
  <cp:lastPrinted>2020-11-18T08:06:00Z</cp:lastPrinted>
  <dcterms:created xsi:type="dcterms:W3CDTF">2021-02-22T06:47:00Z</dcterms:created>
  <dcterms:modified xsi:type="dcterms:W3CDTF">2021-02-22T06:47:00Z</dcterms:modified>
</cp:coreProperties>
</file>