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A" w:rsidRPr="0059796D" w:rsidRDefault="0025707A" w:rsidP="0025707A">
      <w:pPr>
        <w:ind w:left="360" w:firstLine="0"/>
        <w:rPr>
          <w:rFonts w:ascii="Times New Roman" w:hAnsi="Times New Roman"/>
          <w:sz w:val="24"/>
          <w:szCs w:val="24"/>
        </w:rPr>
      </w:pPr>
    </w:p>
    <w:p w:rsidR="0025707A" w:rsidRPr="0059796D" w:rsidRDefault="0025707A" w:rsidP="0025707A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883F62" w:rsidRDefault="00883F62" w:rsidP="00883F62">
      <w:pPr>
        <w:rPr>
          <w:rFonts w:ascii="Times New Roman" w:hAnsi="Times New Roman"/>
          <w:sz w:val="24"/>
          <w:szCs w:val="24"/>
        </w:rPr>
      </w:pPr>
    </w:p>
    <w:p w:rsidR="000D3F44" w:rsidRDefault="000D3F44" w:rsidP="00883F62">
      <w:pPr>
        <w:rPr>
          <w:rFonts w:ascii="Times New Roman" w:hAnsi="Times New Roman"/>
          <w:sz w:val="24"/>
          <w:szCs w:val="24"/>
        </w:rPr>
      </w:pPr>
    </w:p>
    <w:p w:rsidR="000D3F44" w:rsidRDefault="000D3F44" w:rsidP="00883F6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1CD" w:rsidTr="00965A74">
        <w:tc>
          <w:tcPr>
            <w:tcW w:w="4785" w:type="dxa"/>
          </w:tcPr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1CD" w:rsidRDefault="002041CD" w:rsidP="00204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Ивняковского сельского поселения от 01.10.2019 года № 178/1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«Эффективная власть в Ивняковском сельском поселении»</w:t>
      </w: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946"/>
        <w:gridCol w:w="8402"/>
      </w:tblGrid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Муниципальная программа «Эффективная власть в Ивняковском сельском поселении» (далее Программа)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131-ФЗ «Об общих принципах организации  местного самоуправления в Российской Федерации»;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-Указ Президента РФ от 21.08.2012 № 1199 «Об оценке эффективности, деятельности органов исполнительной власти субъектов РФ»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-Закон Ярославской области от 27 июня 2007 г. № 46-з « О муниципальной службе в Ярославской области»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2041CD" w:rsidRPr="005A2D29" w:rsidRDefault="002041CD" w:rsidP="00965A74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 строительству и реконструкции систем наружного освещения улиц населенных пунктов;</w:t>
            </w:r>
          </w:p>
          <w:p w:rsidR="002041CD" w:rsidRPr="005A2D29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системы комплексного благоустройства Ивняковского сельского поселения, п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пунктов Ивняковского </w:t>
            </w: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 с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эстетического вида Ивняковского </w:t>
            </w:r>
            <w:r w:rsidRPr="005A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2041CD" w:rsidRPr="005A2D29" w:rsidRDefault="002041CD" w:rsidP="00965A74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2041CD" w:rsidRPr="005A2D29" w:rsidRDefault="002041CD" w:rsidP="00965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9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поселения.</w:t>
            </w:r>
          </w:p>
          <w:p w:rsidR="002041CD" w:rsidRPr="005A2D29" w:rsidRDefault="002041CD" w:rsidP="00965A74">
            <w:p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содержания жилищного фонда;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уличного освещения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деятельность муниципальных служащих.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Формирование и использование кадрового резерва муниципальной службы.</w:t>
            </w:r>
          </w:p>
          <w:p w:rsidR="002041CD" w:rsidRDefault="002041CD" w:rsidP="00965A7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 В.</w:t>
            </w:r>
          </w:p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5A2D29">
              <w:rPr>
                <w:rFonts w:ascii="Times New Roman" w:hAnsi="Times New Roman"/>
                <w:sz w:val="24"/>
                <w:szCs w:val="24"/>
              </w:rPr>
              <w:t>Ивняковского</w:t>
            </w:r>
            <w:proofErr w:type="spellEnd"/>
            <w:r w:rsidRPr="005A2D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2D2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Ивняковского сельского поселения Верхова И.А.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2018-2020 г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Перечень целевых программ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Ивняковском сельском поселении»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тыс.руб.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5"/>
              <w:gridCol w:w="1241"/>
              <w:gridCol w:w="996"/>
              <w:gridCol w:w="1134"/>
              <w:gridCol w:w="1523"/>
              <w:gridCol w:w="1197"/>
            </w:tblGrid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проект</w:t>
                  </w: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6866,0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5308,5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1557,5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2041C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69948,6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22290,8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23260,5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12208,1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9A4816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12189,2</w:t>
                  </w:r>
                </w:p>
              </w:tc>
            </w:tr>
            <w:tr w:rsidR="002041CD" w:rsidRPr="005A2D29" w:rsidTr="00965A74">
              <w:tc>
                <w:tcPr>
                  <w:tcW w:w="2086" w:type="dxa"/>
                </w:tcPr>
                <w:p w:rsidR="002041CD" w:rsidRPr="005A2D29" w:rsidRDefault="002041CD" w:rsidP="00965A7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2D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4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76814,6</w:t>
                  </w:r>
                </w:p>
              </w:tc>
              <w:tc>
                <w:tcPr>
                  <w:tcW w:w="992" w:type="dxa"/>
                  <w:vAlign w:val="center"/>
                </w:tcPr>
                <w:p w:rsidR="002041CD" w:rsidRPr="005A2D29" w:rsidRDefault="006B528B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27599,3</w:t>
                  </w:r>
                </w:p>
              </w:tc>
              <w:tc>
                <w:tcPr>
                  <w:tcW w:w="1134" w:type="dxa"/>
                  <w:vAlign w:val="center"/>
                </w:tcPr>
                <w:p w:rsidR="002041CD" w:rsidRPr="005A2D29" w:rsidRDefault="006B528B" w:rsidP="009A4816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24818,0</w:t>
                  </w:r>
                </w:p>
              </w:tc>
              <w:tc>
                <w:tcPr>
                  <w:tcW w:w="1524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12208,1</w:t>
                  </w:r>
                </w:p>
              </w:tc>
              <w:tc>
                <w:tcPr>
                  <w:tcW w:w="1198" w:type="dxa"/>
                  <w:vAlign w:val="center"/>
                </w:tcPr>
                <w:p w:rsidR="002041CD" w:rsidRPr="005A2D29" w:rsidRDefault="009A4816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12189,2</w:t>
                  </w:r>
                </w:p>
              </w:tc>
            </w:tr>
          </w:tbl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Планируемые  результаты реализации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содержания жилищного фонда: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Реализация мероприятий по проведению капитальных ремонтов многоквартирных домов на территории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Оценка недвижимости, признание прав и регулирование отношений по государственной и муниципальной собственности;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Мероприятия в области жилищного хозяйства.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систем жизнеобеспечения и обеспечение       населения коммунальными услугами: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Мероприятия в области коммунального хозяйства;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Вывоз ЖБО.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уличного освещения: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Создание благоприятных и комфортных условий для проживания и отдыха населения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Доведение уровня освещенности улиц, проездов, внутриквартальных дорог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пешеходных дорожек до 100%.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Озеленение территории поселения: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благоприятных условий для проживания и отдыха населения Ивняковского сельского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2041CD" w:rsidRPr="005A2D29" w:rsidRDefault="002041CD" w:rsidP="00965A74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- Создание комплексного озеленения на территории Ивняковского сельского поселения.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5.  Организация благоустройства территории поселения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    Прочие мероприятия по благоустройству поселения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     - Достижение целей по приведению улиц и дворов в состояние, соответствующее                современным требованиям и стандартам;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сельского поселения.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6. Создание условий для реализации программы «Эффективная власть в Ивняковском сельском поселении»</w:t>
            </w:r>
          </w:p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      7   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      </w:r>
          </w:p>
        </w:tc>
      </w:tr>
      <w:tr w:rsidR="002041CD" w:rsidTr="00965A74">
        <w:tc>
          <w:tcPr>
            <w:tcW w:w="1843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целевых программ, входящих в состав муниципальной программы</w:t>
            </w:r>
          </w:p>
        </w:tc>
        <w:tc>
          <w:tcPr>
            <w:tcW w:w="8505" w:type="dxa"/>
          </w:tcPr>
          <w:p w:rsidR="002041CD" w:rsidRPr="005A2D29" w:rsidRDefault="002041CD" w:rsidP="00965A7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МЦП "Развитие муниципальной службы в Ивняковском сельском поселении"</w:t>
            </w:r>
          </w:p>
          <w:p w:rsidR="002041CD" w:rsidRPr="005A2D29" w:rsidRDefault="002041CD" w:rsidP="00965A7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МЦП «Эффективная власть в Ивняковском сельском поселении"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0B74D6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B74D6">
        <w:rPr>
          <w:rFonts w:ascii="Times New Roman" w:hAnsi="Times New Roman"/>
          <w:b/>
          <w:sz w:val="28"/>
          <w:szCs w:val="28"/>
        </w:rPr>
        <w:t>Характеристика состояния, основные показатели и перспективы их развития.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56E05">
        <w:rPr>
          <w:rFonts w:ascii="Times New Roman" w:hAnsi="Times New Roman"/>
          <w:sz w:val="24"/>
          <w:szCs w:val="24"/>
        </w:rPr>
        <w:t>В состав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 пригодным для проживания граждан. 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Задача по уличному освещению включает в себя комплекс мероприятий, направленных на достижение целей по улучшению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</w:t>
      </w:r>
      <w:r>
        <w:rPr>
          <w:rFonts w:ascii="Times New Roman" w:hAnsi="Times New Roman"/>
          <w:sz w:val="24"/>
          <w:szCs w:val="24"/>
        </w:rPr>
        <w:lastRenderedPageBreak/>
        <w:t xml:space="preserve">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работ. К решению проблем благоустройства поселения необходим целевой подход 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0D7850" w:rsidRDefault="002041CD" w:rsidP="002041CD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0D7850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041CD" w:rsidRPr="000B74D6" w:rsidRDefault="002041CD" w:rsidP="002041CD">
      <w:pPr>
        <w:pStyle w:val="a6"/>
        <w:ind w:left="3540" w:firstLine="0"/>
        <w:rPr>
          <w:rFonts w:ascii="Times New Roman" w:hAnsi="Times New Roman"/>
          <w:sz w:val="28"/>
          <w:szCs w:val="28"/>
        </w:rPr>
      </w:pPr>
    </w:p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0B74D6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строительству и реконструкции систем наружного освещения улиц населенных пунктов;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системы комплексного благоустройства Ивняковского сельского поселения, п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с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овершенствование эстетического вида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5A2D29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2041CD" w:rsidRPr="005A2D29" w:rsidRDefault="002041CD" w:rsidP="002041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-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содержания жилищного фонда;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бесперебойной работы уличного освещения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Организация благоустройства территории поселения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Обеспечение деятельности учреждения по благоустройству и развитию поселения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Создание условий для реализации программы «Эффективная власть в Ивняковском сельском поселении»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Актуализация документов, регламентирующих деятельность муниципальных служащих.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Профессиональное развитие муниципальных служащих.</w:t>
      </w:r>
    </w:p>
    <w:p w:rsidR="002041CD" w:rsidRPr="005A2D29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Формирование и использование кадрового резерва муниципальной службы.</w:t>
      </w:r>
    </w:p>
    <w:p w:rsidR="002041CD" w:rsidRDefault="002041CD" w:rsidP="002041CD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lastRenderedPageBreak/>
        <w:t>Внедрение механизмов противодействия коррупции, предупреждения и урегулирования конфликта интересов на муниципальной службе.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pStyle w:val="a6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0D7850">
        <w:rPr>
          <w:rFonts w:ascii="Times New Roman" w:hAnsi="Times New Roman"/>
          <w:b/>
          <w:sz w:val="28"/>
          <w:szCs w:val="28"/>
        </w:rPr>
        <w:t>Оценка эффективности МЦП, рисков ее реализации</w:t>
      </w:r>
    </w:p>
    <w:p w:rsidR="002041CD" w:rsidRDefault="002041CD" w:rsidP="002041CD">
      <w:pPr>
        <w:pStyle w:val="a6"/>
        <w:ind w:left="1455" w:firstLine="0"/>
        <w:rPr>
          <w:rFonts w:ascii="Times New Roman" w:hAnsi="Times New Roman"/>
          <w:b/>
          <w:sz w:val="24"/>
          <w:szCs w:val="24"/>
        </w:rPr>
      </w:pP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 w:rsidRPr="00662541">
        <w:rPr>
          <w:rFonts w:ascii="Times New Roman" w:hAnsi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населенного пункта поселения, улучшение санитарного содержания территорий, экологической безопасности населенных пунктов.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Ивняковского сельского поселения.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скоординирована деятельность учреждений, обеспечивающих благоустройство населенных пунктов.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площадками);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санитарного состояния муниципального образования (обеспеченность контейнерными площадками, отсутствие несанкционированных свалок мусора).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приведет к: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-улучшению внешнего вида территории Ивняковского сельского поселения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повышению комфортности придомовых территорий и парковых зон поселения.</w:t>
      </w:r>
    </w:p>
    <w:p w:rsidR="002041CD" w:rsidRDefault="002041CD" w:rsidP="00204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экологической обстановки и создание среды, комфортной для проживания жителей поселения;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совершенствование эстетического состояния территории поселения;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увеличение площади благоустроенных зелёных насаждений в поселении;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создание зелёных зон для отдыха горожан;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снижение случаев травматизма среди населения;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предотвращение сокращения зелёных насаждений;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исполнения (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) Программы рассчитывается по формуле: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40"/>
          <w:szCs w:val="40"/>
        </w:rPr>
      </w:pPr>
      <w:r w:rsidRPr="00235531">
        <w:rPr>
          <w:rFonts w:ascii="Times New Roman" w:hAnsi="Times New Roman"/>
          <w:sz w:val="24"/>
          <w:szCs w:val="24"/>
        </w:rPr>
        <w:t xml:space="preserve">                </w:t>
      </w:r>
      <w:r w:rsidRPr="000740BC">
        <w:rPr>
          <w:rFonts w:ascii="Times New Roman" w:hAnsi="Times New Roman"/>
          <w:sz w:val="36"/>
          <w:szCs w:val="36"/>
          <w:lang w:val="en-US"/>
        </w:rPr>
        <w:t>R</w:t>
      </w:r>
      <w:proofErr w:type="spellStart"/>
      <w:r w:rsidRPr="000740BC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23553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35531">
        <w:rPr>
          <w:rFonts w:ascii="Times New Roman" w:hAnsi="Times New Roman"/>
          <w:sz w:val="40"/>
          <w:szCs w:val="40"/>
        </w:rPr>
        <w:t xml:space="preserve">= ∑ </w:t>
      </w:r>
      <w:proofErr w:type="spellStart"/>
      <w:r w:rsidRPr="00235531">
        <w:rPr>
          <w:rFonts w:ascii="Times New Roman" w:hAnsi="Times New Roman"/>
          <w:sz w:val="40"/>
          <w:szCs w:val="40"/>
          <w:lang w:val="en-US"/>
        </w:rPr>
        <w:t>K</w:t>
      </w:r>
      <w:r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proofErr w:type="spellEnd"/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 </w:t>
      </w:r>
      <w:r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72"/>
          <w:szCs w:val="72"/>
          <w:u w:val="single"/>
          <w:vertAlign w:val="superscript"/>
          <w:lang w:val="en-US"/>
        </w:rPr>
        <w:t>x</w:t>
      </w:r>
      <w:r w:rsidRPr="00235531">
        <w:rPr>
          <w:rFonts w:ascii="Times New Roman" w:hAnsi="Times New Roman"/>
          <w:sz w:val="22"/>
          <w:szCs w:val="22"/>
          <w:u w:val="single"/>
          <w:vertAlign w:val="superscript"/>
          <w:lang w:val="en-US"/>
        </w:rPr>
        <w:t>i</w:t>
      </w:r>
      <w:r w:rsidRPr="00235531">
        <w:rPr>
          <w:rFonts w:ascii="Times New Roman" w:hAnsi="Times New Roman"/>
          <w:sz w:val="22"/>
          <w:szCs w:val="22"/>
          <w:u w:val="single"/>
          <w:vertAlign w:val="superscript"/>
        </w:rPr>
        <w:t xml:space="preserve"> тек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  </w:t>
      </w:r>
      <w:r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235531">
        <w:rPr>
          <w:rFonts w:ascii="Times New Roman" w:hAnsi="Times New Roman"/>
          <w:sz w:val="40"/>
          <w:szCs w:val="40"/>
          <w:vertAlign w:val="subscript"/>
        </w:rPr>
        <w:t xml:space="preserve"> </w:t>
      </w:r>
      <w:r>
        <w:rPr>
          <w:rFonts w:ascii="Times New Roman" w:hAnsi="Times New Roman"/>
          <w:sz w:val="40"/>
          <w:szCs w:val="40"/>
          <w:lang w:val="en-US"/>
        </w:rPr>
        <w:t>x</w:t>
      </w:r>
      <w:r w:rsidRPr="00235531">
        <w:rPr>
          <w:rFonts w:ascii="Times New Roman" w:hAnsi="Times New Roman"/>
          <w:sz w:val="40"/>
          <w:szCs w:val="40"/>
        </w:rPr>
        <w:t xml:space="preserve"> 100%,</w:t>
      </w:r>
    </w:p>
    <w:p w:rsidR="002041CD" w:rsidRPr="00235531" w:rsidRDefault="002041CD" w:rsidP="002041CD">
      <w:pPr>
        <w:tabs>
          <w:tab w:val="left" w:pos="5145"/>
        </w:tabs>
        <w:ind w:firstLine="0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</w:rPr>
        <w:t xml:space="preserve">                           </w:t>
      </w:r>
      <w:r w:rsidRPr="00235531">
        <w:rPr>
          <w:rFonts w:ascii="Times New Roman" w:hAnsi="Times New Roman"/>
          <w:sz w:val="32"/>
          <w:szCs w:val="32"/>
          <w:lang w:val="en-US"/>
        </w:rPr>
        <w:t>X</w:t>
      </w:r>
      <w:r w:rsidRPr="00235531">
        <w:rPr>
          <w:rFonts w:ascii="Times New Roman" w:hAnsi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sz w:val="22"/>
          <w:szCs w:val="22"/>
          <w:vertAlign w:val="subscript"/>
        </w:rPr>
        <w:t>план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0740BC">
        <w:rPr>
          <w:rFonts w:ascii="Times New Roman" w:hAnsi="Times New Roman"/>
          <w:sz w:val="24"/>
          <w:szCs w:val="24"/>
          <w:vertAlign w:val="subscript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весовой коэффициент приоритетности показателя;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значение показателя на текущую дату;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F6F9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плановое значение показателя.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исполнения Программы производится по следующим критериям:</w:t>
      </w:r>
    </w:p>
    <w:p w:rsidR="002041CD" w:rsidRPr="00AF6F9E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низкая результативность (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AF6F9E">
        <w:rPr>
          <w:rFonts w:ascii="Times New Roman" w:hAnsi="Times New Roman"/>
          <w:sz w:val="24"/>
          <w:szCs w:val="24"/>
        </w:rPr>
        <w:t>&lt; 85процентов);</w:t>
      </w: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средняя результативность 85 процентов </w:t>
      </w:r>
      <w:r w:rsidRPr="00EF2994">
        <w:rPr>
          <w:rFonts w:ascii="Times New Roman" w:hAnsi="Times New Roman"/>
          <w:sz w:val="24"/>
          <w:szCs w:val="24"/>
        </w:rPr>
        <w:t xml:space="preserve">≤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EF2994">
        <w:rPr>
          <w:rFonts w:ascii="Times New Roman" w:hAnsi="Times New Roman"/>
          <w:sz w:val="24"/>
          <w:szCs w:val="24"/>
        </w:rPr>
        <w:t>&lt;95</w:t>
      </w:r>
      <w:r>
        <w:rPr>
          <w:rFonts w:ascii="Times New Roman" w:hAnsi="Times New Roman"/>
          <w:sz w:val="24"/>
          <w:szCs w:val="24"/>
        </w:rPr>
        <w:t>процентов);</w:t>
      </w: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высокая результативность (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≥ 95 процентов);</w:t>
      </w:r>
    </w:p>
    <w:p w:rsidR="002041CD" w:rsidRPr="00EF2994" w:rsidRDefault="002041CD" w:rsidP="002041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исполнения Программы 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2041CD" w:rsidRPr="00662541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041CD" w:rsidRPr="0099164D" w:rsidRDefault="002041CD" w:rsidP="002041CD">
      <w:pPr>
        <w:pStyle w:val="a6"/>
        <w:ind w:left="145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041CD" w:rsidRPr="006530D9" w:rsidRDefault="002041CD" w:rsidP="002041CD">
      <w:pPr>
        <w:pStyle w:val="a6"/>
        <w:tabs>
          <w:tab w:val="left" w:pos="2745"/>
        </w:tabs>
        <w:ind w:left="1455" w:firstLine="0"/>
        <w:rPr>
          <w:rFonts w:ascii="Times New Roman" w:hAnsi="Times New Roman"/>
          <w:sz w:val="24"/>
          <w:szCs w:val="24"/>
          <w:vertAlign w:val="subscript"/>
        </w:rPr>
      </w:pPr>
      <w:r w:rsidRPr="00991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</w:p>
    <w:p w:rsidR="002041CD" w:rsidRPr="006530D9" w:rsidRDefault="002041CD" w:rsidP="002041CD">
      <w:pPr>
        <w:pStyle w:val="a6"/>
        <w:ind w:left="1455" w:firstLine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___________________</w:t>
      </w:r>
    </w:p>
    <w:p w:rsidR="002041CD" w:rsidRDefault="002041CD" w:rsidP="002041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1CD" w:rsidRPr="006530D9" w:rsidRDefault="002041CD" w:rsidP="002041CD">
      <w:pPr>
        <w:tabs>
          <w:tab w:val="left" w:pos="2655"/>
        </w:tabs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530D9">
        <w:rPr>
          <w:rFonts w:ascii="Times New Roman" w:hAnsi="Times New Roman"/>
          <w:sz w:val="28"/>
          <w:szCs w:val="28"/>
          <w:lang w:val="en-US"/>
        </w:rPr>
        <w:t>F</w:t>
      </w:r>
      <w:r w:rsidRPr="006530D9"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</w:p>
    <w:p w:rsidR="002041CD" w:rsidRPr="00AF6F9E" w:rsidRDefault="002041CD" w:rsidP="002041CD">
      <w:pPr>
        <w:rPr>
          <w:rFonts w:ascii="Times New Roman" w:hAnsi="Times New Roman"/>
          <w:sz w:val="24"/>
          <w:szCs w:val="24"/>
        </w:rPr>
      </w:pPr>
      <w:r w:rsidRPr="00AF6F9E">
        <w:rPr>
          <w:rFonts w:ascii="Times New Roman" w:hAnsi="Times New Roman"/>
          <w:sz w:val="24"/>
          <w:szCs w:val="24"/>
        </w:rPr>
        <w:t>Где:</w:t>
      </w:r>
    </w:p>
    <w:p w:rsidR="002041CD" w:rsidRDefault="002041CD" w:rsidP="002041CD">
      <w:pPr>
        <w:pStyle w:val="a6"/>
        <w:ind w:left="3540" w:firstLine="0"/>
        <w:rPr>
          <w:rFonts w:ascii="Times New Roman" w:hAnsi="Times New Roman"/>
          <w:color w:val="FF0000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 w:rsidRPr="00AF6F9E">
        <w:rPr>
          <w:rFonts w:ascii="Times New Roman" w:hAnsi="Times New Roman"/>
          <w:sz w:val="24"/>
          <w:szCs w:val="24"/>
          <w:lang w:val="en-US"/>
        </w:rPr>
        <w:t>F</w:t>
      </w:r>
      <w:r w:rsidRPr="00AF6F9E">
        <w:rPr>
          <w:rFonts w:ascii="Times New Roman" w:hAnsi="Times New Roman"/>
          <w:sz w:val="24"/>
          <w:szCs w:val="24"/>
        </w:rPr>
        <w:t xml:space="preserve"> </w:t>
      </w:r>
      <w:r w:rsidRPr="00AF6F9E">
        <w:rPr>
          <w:rFonts w:ascii="Times New Roman" w:hAnsi="Times New Roman"/>
          <w:sz w:val="24"/>
          <w:szCs w:val="24"/>
          <w:vertAlign w:val="subscript"/>
        </w:rPr>
        <w:t xml:space="preserve">факт – </w:t>
      </w:r>
      <w:r w:rsidRPr="00AF6F9E">
        <w:rPr>
          <w:rFonts w:ascii="Times New Roman" w:hAnsi="Times New Roman"/>
          <w:sz w:val="24"/>
          <w:szCs w:val="24"/>
        </w:rPr>
        <w:t>сумма финансирования на текущую дату;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AF6F9E">
        <w:rPr>
          <w:rFonts w:ascii="Times New Roman" w:hAnsi="Times New Roman"/>
          <w:sz w:val="24"/>
          <w:szCs w:val="24"/>
          <w:vertAlign w:val="subscript"/>
        </w:rPr>
        <w:t xml:space="preserve">план </w:t>
      </w:r>
      <w:r>
        <w:rPr>
          <w:rFonts w:ascii="Times New Roman" w:hAnsi="Times New Roman"/>
          <w:sz w:val="24"/>
          <w:szCs w:val="24"/>
        </w:rPr>
        <w:t>– плановая сумма финансирования по Программе.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исполнения Программы производится по следующим критериям: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Pr="00AF6F9E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низкоэффективное исполнение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6F9E">
        <w:rPr>
          <w:rFonts w:ascii="Times New Roman" w:hAnsi="Times New Roman"/>
          <w:sz w:val="24"/>
          <w:szCs w:val="24"/>
        </w:rPr>
        <w:t>&lt; 90процентов);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эффективное исполнение (90 процентов</w:t>
      </w:r>
      <w:r w:rsidRPr="00DA39AB">
        <w:rPr>
          <w:rFonts w:ascii="Times New Roman" w:hAnsi="Times New Roman"/>
          <w:sz w:val="24"/>
          <w:szCs w:val="24"/>
        </w:rPr>
        <w:t xml:space="preserve"> 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DA39AB">
        <w:rPr>
          <w:rFonts w:ascii="Times New Roman" w:hAnsi="Times New Roman"/>
          <w:sz w:val="24"/>
          <w:szCs w:val="24"/>
        </w:rPr>
        <w:t>&lt; 100 процентов);</w:t>
      </w: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высокоэффективное исполнение (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≥ 100процентов).</w:t>
      </w: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numPr>
          <w:ilvl w:val="0"/>
          <w:numId w:val="10"/>
        </w:numPr>
        <w:jc w:val="left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 xml:space="preserve">Основные сведения о подпрограммах, 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Входящих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муниципальной службы в Ивняковском сельском поселении» в новой редакции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деятельность муниципальных служащих.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служащих.</w:t>
            </w:r>
          </w:p>
          <w:p w:rsidR="002041CD" w:rsidRPr="00A706E9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Формирование и использование кадрового резерва муниципальной службы.</w:t>
            </w:r>
          </w:p>
          <w:p w:rsidR="002041CD" w:rsidRPr="00DA39AB" w:rsidRDefault="002041CD" w:rsidP="00965A74">
            <w:pPr>
              <w:pStyle w:val="a6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6E9">
              <w:rPr>
                <w:rFonts w:ascii="Times New Roman" w:hAnsi="Times New Roman"/>
                <w:sz w:val="24"/>
                <w:szCs w:val="24"/>
              </w:rPr>
              <w:t>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специалистов, работающих в администрации, прошедших обучение и курсы повышения квалификации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Ивняковского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№ 167 от 19 октября 2017 года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Ивняковском сельском поселении» в новой редакции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2041CD" w:rsidRPr="00FE2F71" w:rsidRDefault="002041CD" w:rsidP="00965A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строительству и реконструкции систем наружного освещения улиц населенных пунктов;</w:t>
            </w:r>
          </w:p>
          <w:p w:rsidR="002041CD" w:rsidRPr="00FE2F71" w:rsidRDefault="002041CD" w:rsidP="00965A7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эстетического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2041CD" w:rsidRPr="00FE2F71" w:rsidRDefault="002041CD" w:rsidP="00965A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2041CD" w:rsidRPr="00FE2F71" w:rsidRDefault="002041CD" w:rsidP="00965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содержания жилищного фонда;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2041CD" w:rsidRPr="0076445F" w:rsidRDefault="002041CD" w:rsidP="00965A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2041CD" w:rsidRPr="00174086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445F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2041CD" w:rsidRPr="00DA39AB" w:rsidRDefault="002041CD" w:rsidP="00965A7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поддержание линий уличного освещения в исправном состоянии;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замена светильников уличного освещения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несанкционированных свалок с последующим вывозом и утилизацией мусора.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спил деревьев, угрожающих жизни людей и способных нанести вред системам жизнеобеспечения ЖКХ поселения с последующей утилизацией порубочного материала;</w:t>
            </w:r>
          </w:p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и обустройство детских игровых комплексов;</w:t>
            </w:r>
          </w:p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скашивание территории.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Ивняковского сельского поселения № 168 от 19 октября 2017 года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</w:tbl>
    <w:p w:rsidR="00DA39AB" w:rsidRPr="00DA39AB" w:rsidRDefault="00DA39AB" w:rsidP="002041CD">
      <w:pPr>
        <w:pStyle w:val="a6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</w:p>
    <w:sectPr w:rsidR="00DA39AB" w:rsidRPr="00DA39AB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883F62"/>
    <w:rsid w:val="00000946"/>
    <w:rsid w:val="00010176"/>
    <w:rsid w:val="000258A7"/>
    <w:rsid w:val="00043810"/>
    <w:rsid w:val="00056E05"/>
    <w:rsid w:val="00057628"/>
    <w:rsid w:val="000740BC"/>
    <w:rsid w:val="000B74D6"/>
    <w:rsid w:val="000D3F44"/>
    <w:rsid w:val="000D7850"/>
    <w:rsid w:val="00196EDE"/>
    <w:rsid w:val="00203973"/>
    <w:rsid w:val="002041CD"/>
    <w:rsid w:val="00213119"/>
    <w:rsid w:val="00214761"/>
    <w:rsid w:val="00235531"/>
    <w:rsid w:val="002368DA"/>
    <w:rsid w:val="0024732D"/>
    <w:rsid w:val="0025707A"/>
    <w:rsid w:val="002D76AD"/>
    <w:rsid w:val="002E4A76"/>
    <w:rsid w:val="002F009A"/>
    <w:rsid w:val="0030666B"/>
    <w:rsid w:val="0032567E"/>
    <w:rsid w:val="00334FBB"/>
    <w:rsid w:val="0038018F"/>
    <w:rsid w:val="003922E1"/>
    <w:rsid w:val="00424EA9"/>
    <w:rsid w:val="0043004B"/>
    <w:rsid w:val="00442AB0"/>
    <w:rsid w:val="0045341B"/>
    <w:rsid w:val="004820E2"/>
    <w:rsid w:val="00492053"/>
    <w:rsid w:val="0049769E"/>
    <w:rsid w:val="004B05AD"/>
    <w:rsid w:val="004F0B28"/>
    <w:rsid w:val="00503F70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B528B"/>
    <w:rsid w:val="006B740A"/>
    <w:rsid w:val="006E2FD2"/>
    <w:rsid w:val="00711F12"/>
    <w:rsid w:val="0076445F"/>
    <w:rsid w:val="0077656C"/>
    <w:rsid w:val="008232CA"/>
    <w:rsid w:val="00844D52"/>
    <w:rsid w:val="00846903"/>
    <w:rsid w:val="00880A56"/>
    <w:rsid w:val="00883F62"/>
    <w:rsid w:val="00886209"/>
    <w:rsid w:val="008A09C6"/>
    <w:rsid w:val="008A493E"/>
    <w:rsid w:val="00947382"/>
    <w:rsid w:val="0097376E"/>
    <w:rsid w:val="0097672F"/>
    <w:rsid w:val="0099164D"/>
    <w:rsid w:val="009A4816"/>
    <w:rsid w:val="009C3A05"/>
    <w:rsid w:val="009D3972"/>
    <w:rsid w:val="00A32BF9"/>
    <w:rsid w:val="00A6124E"/>
    <w:rsid w:val="00AF6F9E"/>
    <w:rsid w:val="00B21501"/>
    <w:rsid w:val="00B35BDB"/>
    <w:rsid w:val="00B7116B"/>
    <w:rsid w:val="00B80E7B"/>
    <w:rsid w:val="00B84871"/>
    <w:rsid w:val="00B97A07"/>
    <w:rsid w:val="00BC02A4"/>
    <w:rsid w:val="00C733DC"/>
    <w:rsid w:val="00C77C6B"/>
    <w:rsid w:val="00C83C5D"/>
    <w:rsid w:val="00C91CFD"/>
    <w:rsid w:val="00CB5B48"/>
    <w:rsid w:val="00D5333F"/>
    <w:rsid w:val="00D54119"/>
    <w:rsid w:val="00D66ED9"/>
    <w:rsid w:val="00D81B38"/>
    <w:rsid w:val="00DA39AB"/>
    <w:rsid w:val="00DF4089"/>
    <w:rsid w:val="00E0004B"/>
    <w:rsid w:val="00E860B5"/>
    <w:rsid w:val="00E91DBE"/>
    <w:rsid w:val="00ED63A8"/>
    <w:rsid w:val="00EF2994"/>
    <w:rsid w:val="00F02F8F"/>
    <w:rsid w:val="00F617AE"/>
    <w:rsid w:val="00F776F1"/>
    <w:rsid w:val="00F84FA7"/>
    <w:rsid w:val="00F91F8F"/>
    <w:rsid w:val="00FB6362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68B7-ED50-48A4-AD83-0894993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5</cp:revision>
  <cp:lastPrinted>2019-10-17T13:41:00Z</cp:lastPrinted>
  <dcterms:created xsi:type="dcterms:W3CDTF">2019-10-06T11:24:00Z</dcterms:created>
  <dcterms:modified xsi:type="dcterms:W3CDTF">2019-10-18T10:53:00Z</dcterms:modified>
</cp:coreProperties>
</file>